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2747" w:dyaOrig="1329">
          <v:rect xmlns:o="urn:schemas-microsoft-com:office:office" xmlns:v="urn:schemas-microsoft-com:vml" id="rectole0000000000" style="width:137.350000pt;height:6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Komunikat dla firm zewn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ętrznych, np. biur rachunkowych,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które obs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ługują płatników składek</w:t>
      </w:r>
    </w:p>
    <w:p>
      <w:pPr>
        <w:spacing w:before="100" w:after="1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Zmiany w dokumentach ubezpieczeniowych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 stycznia 2019 r. zmieni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 się niektóre dokumenty ubezpieczeniowe, a także pojawią się nowe.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łatnik składek będzie przekazywać dodatkowy raport w zestawie dokumentów rozliczeniowych za dany okres rozliczeniowy.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ZUS RPA – imienny raport miesi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ęczny o przychodach i wykonywaniu pracy nauczycielskiej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Płatnik będzie go przekazywać w zestawie dokumentów. Raport będzie zawierał następujące informacje: </w:t>
      </w:r>
    </w:p>
    <w:p>
      <w:pPr>
        <w:numPr>
          <w:ilvl w:val="0"/>
          <w:numId w:val="5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kwota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ale należnego za inny rok kalendarzowy, która stanowi podstawę wymiaru składek na ubezpieczenia emerytalne i rentowe; </w:t>
      </w:r>
    </w:p>
    <w:p>
      <w:pPr>
        <w:numPr>
          <w:ilvl w:val="0"/>
          <w:numId w:val="5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kwota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ale należnego za inny rok kalendarzowy, która stanowi podstawę wymiaru składek na ubezpieczenie wypadkowe; </w:t>
      </w:r>
    </w:p>
    <w:p>
      <w:pPr>
        <w:numPr>
          <w:ilvl w:val="0"/>
          <w:numId w:val="5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kwota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obok wynagrodzenia za czas niezdolności do pracy, zasiłku chorobowego, macierzyńskiego, opiekuńczego, świadczenia rehabilitacyjnego, która w okresie pobierania tego wynagrodzenia lub zasiłku nie stanowiła podstawy wymiaru składek na ubezpieczenia emerytalne i rentowe i która jest należna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inny okres; </w:t>
      </w:r>
    </w:p>
    <w:p>
      <w:pPr>
        <w:numPr>
          <w:ilvl w:val="0"/>
          <w:numId w:val="5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okresy wykonywania pracy nauczycielskiej.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dwa następujące formularze: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ZUS DRA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– deklaracja rozliczeniowa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W dokumencie zostanie 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ęty blok VI – rozliczenie części IV i V (czyli rozliczenie składek na ubezpieczenia społeczne oraz świadczeń podlegających rozliczeniu w ciężar składek na ubezpieczenia społeczne). Dodany będzie blok IX – zestawienie należnych składek do zwrotu lub zapłaty. W bloku tym płatnik składek będzie rozliczać:</w:t>
      </w:r>
    </w:p>
    <w:p>
      <w:pPr>
        <w:numPr>
          <w:ilvl w:val="0"/>
          <w:numId w:val="9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na ubezpieczenia społeczne,</w:t>
      </w:r>
    </w:p>
    <w:p>
      <w:pPr>
        <w:numPr>
          <w:ilvl w:val="0"/>
          <w:numId w:val="9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na ubezpieczenie zdrowotne, </w:t>
      </w:r>
    </w:p>
    <w:p>
      <w:pPr>
        <w:numPr>
          <w:ilvl w:val="0"/>
          <w:numId w:val="9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na Fundusz Pracy, Fundusz Gwarantowanych Świadczeń Pracowniczych i Fundusz Emerytur Pomostowych, </w:t>
      </w:r>
    </w:p>
    <w:p>
      <w:pPr>
        <w:numPr>
          <w:ilvl w:val="0"/>
          <w:numId w:val="9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 świadczenia, które podlegają rozliczeniu w ciężar składek na ubezpieczenia społeczne.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ZUS ZWUA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 – wyrejestrowanie z ubezpiecze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W dokumencie zostanie dodany nowy blok V, który dotyczy rozwiązania lub wygaśnięcia stosunku pracy albo stosunku służbowego.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Skrócenie okresu przechowywania akt pracowniczych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stycznia 2019 r.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łatnik składek będzie mógł wybrać okres, przez jaki chce przechowywać akta pracownicze pracowników, których zatrudnił w latach 1999–2018. Obecnie dokumenty te musi przechowywać przez 50 lat. Będzie mógł skrócić ten okres do 10 lat. Żeby móc przechowywać krócej dokumenty pracownicze, płatnik będzie musiał złożyć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oświadczenie o zamiarze przekazania raportów informacyjnych –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ZUS OSW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ągu roku od złożenia tego oświadczenia płatnik będzie musiał złożyć </w:t>
      </w:r>
      <w:r>
        <w:rPr>
          <w:rFonts w:ascii="Calibri" w:hAnsi="Calibri" w:cs="Calibri" w:eastAsia="Calibri"/>
          <w:color w:val="00B050"/>
          <w:spacing w:val="0"/>
          <w:position w:val="0"/>
          <w:sz w:val="22"/>
          <w:shd w:fill="auto" w:val="clear"/>
        </w:rPr>
        <w:t xml:space="preserve">raport informacyjny – </w:t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  <w:t xml:space="preserve">ZUS 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 każdą osobę, którą zatrudnił w latach 1999–2018 r.  W raporcie przekaże następujące informacje dotyczące zatrudnienia ubezpieczonego w tym okresie: </w:t>
      </w:r>
    </w:p>
    <w:p>
      <w:pPr>
        <w:numPr>
          <w:ilvl w:val="0"/>
          <w:numId w:val="11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kwoty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ale należnego za inny rok kalendarzowy, które stanowiły podstawę wymiaru składek na ubezpieczenia emerytalne i rentowe; </w:t>
      </w:r>
    </w:p>
    <w:p>
      <w:pPr>
        <w:numPr>
          <w:ilvl w:val="0"/>
          <w:numId w:val="11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kwoty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ale należnego za inny rok kalendarzowy, które stanowiły podstawę wymiaru składek na ubezpieczenie wypadkowe; </w:t>
      </w:r>
    </w:p>
    <w:p>
      <w:pPr>
        <w:numPr>
          <w:ilvl w:val="0"/>
          <w:numId w:val="11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kwoty przychodu wyp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łaconego w danym miesiącu, obok wynagrodzenia za czas niezdolności do pracy, zasiłku chorobowego, macierzyńskiego, opiekuńczego, świadczenia rehabilitacyjnego, które w okresie pobierania tego wynagrodzenia lub zasiłku nie stanowiły podstawy wymiaru składek na ubezpieczenia emerytalne i rentowe i które są należne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inny okres; </w:t>
      </w:r>
    </w:p>
    <w:p>
      <w:pPr>
        <w:numPr>
          <w:ilvl w:val="0"/>
          <w:numId w:val="11"/>
        </w:numPr>
        <w:spacing w:before="100" w:after="10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okresy wykonywania pracy nauczycielskiej. </w:t>
      </w:r>
    </w:p>
    <w:p>
      <w:pPr>
        <w:spacing w:before="100" w:after="100" w:line="240"/>
        <w:ind w:right="0" w:left="0" w:firstLine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żne</w:t>
      </w:r>
    </w:p>
    <w:p>
      <w:pPr>
        <w:numPr>
          <w:ilvl w:val="0"/>
          <w:numId w:val="15"/>
        </w:numPr>
        <w:spacing w:before="10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łatnik będzie przechowywać przez 10 lat akta pracownicze osób, które zatrudni dopiero po 2018 r.</w:t>
      </w:r>
    </w:p>
    <w:p>
      <w:pPr>
        <w:numPr>
          <w:ilvl w:val="0"/>
          <w:numId w:val="15"/>
        </w:numPr>
        <w:spacing w:before="10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łatnik może skrócić do 10 lat okres przechowania akt tych pracowników, których zatrudnił w latach 1999–2018. W tym celu musi złożyć oświadczenie ZUS OSW, a potem w ciągu roku przekazać do ZUS raporty ZUS RIA za wszystkich ubezpieczonych w tym okresie. </w:t>
      </w:r>
    </w:p>
    <w:p>
      <w:pPr>
        <w:numPr>
          <w:ilvl w:val="0"/>
          <w:numId w:val="15"/>
        </w:numPr>
        <w:spacing w:before="10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śli płatnik rozwiąże stosunek pracy z pracownikiem zatrudnionym w latach 1999–2018 po 2018 r., raport informacyjny przekaże do ZUS wraz z dokumentem wyrejestrowującym z ubezpieczeń. </w:t>
      </w:r>
    </w:p>
    <w:p>
      <w:pPr>
        <w:numPr>
          <w:ilvl w:val="0"/>
          <w:numId w:val="15"/>
        </w:numPr>
        <w:spacing w:before="100" w:after="1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łatnik przechowuje przez 50 lat akta pracowników, których zatrudnił przed 1999 r.  </w:t>
      </w: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informacji na stronie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www.e-akta.gov.pl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9">
    <w:abstractNumId w:val="12"/>
  </w: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e-akta.gov.pl/" Id="docRId2" Type="http://schemas.openxmlformats.org/officeDocument/2006/relationships/hyperlink"/><Relationship Target="styles.xml" Id="docRId4" Type="http://schemas.openxmlformats.org/officeDocument/2006/relationships/styles"/></Relationships>
</file>